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6F3" w:rsidRDefault="00B146F3" w:rsidP="00B146F3">
      <w:pPr>
        <w:spacing w:line="240" w:lineRule="auto"/>
        <w:jc w:val="center"/>
        <w:rPr>
          <w:rFonts w:cs="Book Antiqua"/>
          <w:lang w:bidi="he-IL"/>
        </w:rPr>
      </w:pPr>
      <w:proofErr w:type="spellStart"/>
      <w:r>
        <w:rPr>
          <w:rFonts w:cs="Book Antiqua"/>
          <w:lang w:bidi="he-IL"/>
        </w:rPr>
        <w:t>Equipes</w:t>
      </w:r>
      <w:proofErr w:type="spellEnd"/>
      <w:r>
        <w:rPr>
          <w:rFonts w:cs="Book Antiqua"/>
          <w:lang w:bidi="he-IL"/>
        </w:rPr>
        <w:t xml:space="preserve"> Notre-Dame</w:t>
      </w:r>
    </w:p>
    <w:p w:rsidR="00B146F3" w:rsidRDefault="00B146F3" w:rsidP="00B146F3">
      <w:pPr>
        <w:spacing w:after="120" w:line="240" w:lineRule="auto"/>
        <w:jc w:val="center"/>
        <w:rPr>
          <w:rFonts w:cs="Book Antiqua"/>
          <w:lang w:bidi="he-IL"/>
        </w:rPr>
      </w:pPr>
      <w:r>
        <w:rPr>
          <w:rFonts w:cs="Book Antiqua"/>
          <w:lang w:bidi="he-IL"/>
        </w:rPr>
        <w:t>28 gennaio 2018</w:t>
      </w:r>
      <w:r w:rsidR="008C1461">
        <w:rPr>
          <w:rFonts w:cs="Book Antiqua"/>
          <w:lang w:bidi="he-IL"/>
        </w:rPr>
        <w:t xml:space="preserve"> – Giornata di ritiro </w:t>
      </w:r>
      <w:proofErr w:type="spellStart"/>
      <w:r w:rsidR="008C1461">
        <w:rPr>
          <w:rFonts w:cs="Book Antiqua"/>
          <w:lang w:bidi="he-IL"/>
        </w:rPr>
        <w:t>Loc</w:t>
      </w:r>
      <w:proofErr w:type="spellEnd"/>
      <w:r w:rsidR="008C1461">
        <w:rPr>
          <w:rFonts w:cs="Book Antiqua"/>
          <w:lang w:bidi="he-IL"/>
        </w:rPr>
        <w:t>. Bicchio</w:t>
      </w:r>
      <w:r w:rsidR="00BB2D82">
        <w:rPr>
          <w:rFonts w:cs="Book Antiqua"/>
          <w:lang w:bidi="he-IL"/>
        </w:rPr>
        <w:t>, Torre del Lago</w:t>
      </w:r>
      <w:r w:rsidR="00756DA3">
        <w:rPr>
          <w:rFonts w:cs="Book Antiqua"/>
          <w:lang w:bidi="he-IL"/>
        </w:rPr>
        <w:t xml:space="preserve"> (LU)</w:t>
      </w:r>
    </w:p>
    <w:p w:rsidR="00756DA3" w:rsidRPr="004B5598" w:rsidRDefault="00756DA3" w:rsidP="00B146F3">
      <w:pPr>
        <w:spacing w:after="120" w:line="240" w:lineRule="auto"/>
        <w:jc w:val="center"/>
        <w:rPr>
          <w:rFonts w:cs="Book Antiqua"/>
          <w:lang w:bidi="he-IL"/>
        </w:rPr>
      </w:pPr>
    </w:p>
    <w:p w:rsidR="008C1461" w:rsidRDefault="008C1461" w:rsidP="008C1461">
      <w:pPr>
        <w:pBdr>
          <w:top w:val="single" w:sz="4" w:space="1" w:color="auto"/>
          <w:left w:val="single" w:sz="4" w:space="4" w:color="auto"/>
          <w:bottom w:val="single" w:sz="4" w:space="1" w:color="auto"/>
          <w:right w:val="single" w:sz="4" w:space="4" w:color="auto"/>
        </w:pBdr>
        <w:spacing w:line="240" w:lineRule="auto"/>
        <w:jc w:val="center"/>
        <w:rPr>
          <w:rFonts w:cs="Book Antiqua"/>
          <w:b/>
          <w:i/>
          <w:sz w:val="36"/>
          <w:szCs w:val="36"/>
          <w:lang w:bidi="he-IL"/>
        </w:rPr>
      </w:pPr>
    </w:p>
    <w:p w:rsidR="00B146F3" w:rsidRDefault="00B146F3" w:rsidP="008C1461">
      <w:pPr>
        <w:pBdr>
          <w:top w:val="single" w:sz="4" w:space="1" w:color="auto"/>
          <w:left w:val="single" w:sz="4" w:space="4" w:color="auto"/>
          <w:bottom w:val="single" w:sz="4" w:space="1" w:color="auto"/>
          <w:right w:val="single" w:sz="4" w:space="4" w:color="auto"/>
        </w:pBdr>
        <w:spacing w:line="240" w:lineRule="auto"/>
        <w:jc w:val="center"/>
        <w:rPr>
          <w:rFonts w:cs="Book Antiqua"/>
          <w:b/>
          <w:i/>
          <w:sz w:val="36"/>
          <w:szCs w:val="36"/>
          <w:lang w:bidi="he-IL"/>
        </w:rPr>
      </w:pPr>
      <w:r w:rsidRPr="008C1461">
        <w:rPr>
          <w:rFonts w:cs="Book Antiqua"/>
          <w:b/>
          <w:i/>
          <w:sz w:val="36"/>
          <w:szCs w:val="36"/>
          <w:lang w:bidi="he-IL"/>
        </w:rPr>
        <w:t>Quali regole per il nostro stare insieme?</w:t>
      </w:r>
    </w:p>
    <w:p w:rsidR="008C1461" w:rsidRPr="008C1461" w:rsidRDefault="008C1461" w:rsidP="008C1461">
      <w:pPr>
        <w:pBdr>
          <w:top w:val="single" w:sz="4" w:space="1" w:color="auto"/>
          <w:left w:val="single" w:sz="4" w:space="4" w:color="auto"/>
          <w:bottom w:val="single" w:sz="4" w:space="1" w:color="auto"/>
          <w:right w:val="single" w:sz="4" w:space="4" w:color="auto"/>
        </w:pBdr>
        <w:spacing w:line="240" w:lineRule="auto"/>
        <w:jc w:val="center"/>
        <w:rPr>
          <w:rFonts w:cs="Book Antiqua"/>
          <w:b/>
          <w:i/>
          <w:sz w:val="36"/>
          <w:szCs w:val="36"/>
          <w:lang w:bidi="he-IL"/>
        </w:rPr>
      </w:pPr>
    </w:p>
    <w:p w:rsidR="008C1461" w:rsidRDefault="008C1461" w:rsidP="00B146F3">
      <w:pPr>
        <w:spacing w:line="240" w:lineRule="auto"/>
        <w:jc w:val="center"/>
        <w:rPr>
          <w:rFonts w:cs="Book Antiqua"/>
          <w:b/>
          <w:i/>
          <w:lang w:bidi="he-IL"/>
        </w:rPr>
      </w:pPr>
    </w:p>
    <w:p w:rsidR="008C1461" w:rsidRDefault="008C1461" w:rsidP="00B146F3">
      <w:pPr>
        <w:spacing w:line="240" w:lineRule="auto"/>
        <w:jc w:val="center"/>
        <w:rPr>
          <w:rFonts w:cs="Book Antiqua"/>
          <w:b/>
          <w:i/>
          <w:lang w:bidi="he-IL"/>
        </w:rPr>
      </w:pPr>
    </w:p>
    <w:p w:rsidR="004A16C7" w:rsidRDefault="004A16C7" w:rsidP="00B146F3">
      <w:pPr>
        <w:spacing w:line="240" w:lineRule="auto"/>
        <w:jc w:val="center"/>
        <w:rPr>
          <w:rFonts w:cs="Book Antiqua"/>
          <w:b/>
          <w:i/>
          <w:lang w:bidi="he-IL"/>
        </w:rPr>
      </w:pPr>
    </w:p>
    <w:p w:rsidR="008C1461" w:rsidRDefault="008C1461" w:rsidP="008C1461">
      <w:pPr>
        <w:spacing w:line="240" w:lineRule="auto"/>
        <w:rPr>
          <w:rFonts w:cs="Book Antiqua"/>
          <w:lang w:bidi="he-IL"/>
        </w:rPr>
      </w:pPr>
      <w:r>
        <w:rPr>
          <w:rFonts w:cs="Book Antiqua"/>
          <w:lang w:bidi="he-IL"/>
        </w:rPr>
        <w:t>Relatore:</w:t>
      </w:r>
    </w:p>
    <w:p w:rsidR="004A16C7" w:rsidRDefault="004A16C7" w:rsidP="008C1461">
      <w:pPr>
        <w:spacing w:line="240" w:lineRule="auto"/>
        <w:rPr>
          <w:rFonts w:cs="Book Antiqua"/>
          <w:lang w:bidi="he-IL"/>
        </w:rPr>
      </w:pPr>
    </w:p>
    <w:p w:rsidR="00756DA3" w:rsidRPr="00756DA3" w:rsidRDefault="008C1461" w:rsidP="008C1461">
      <w:pPr>
        <w:pStyle w:val="Nessunaspaziatura"/>
        <w:rPr>
          <w:b/>
          <w:sz w:val="28"/>
          <w:szCs w:val="28"/>
        </w:rPr>
      </w:pPr>
      <w:r w:rsidRPr="00756DA3">
        <w:rPr>
          <w:b/>
          <w:sz w:val="28"/>
          <w:szCs w:val="28"/>
        </w:rPr>
        <w:t xml:space="preserve">Don </w:t>
      </w:r>
      <w:r w:rsidRPr="00756DA3">
        <w:rPr>
          <w:b/>
          <w:sz w:val="28"/>
          <w:szCs w:val="28"/>
        </w:rPr>
        <w:t>Francesco Bianchini</w:t>
      </w:r>
      <w:r w:rsidR="00756DA3" w:rsidRPr="00756DA3">
        <w:rPr>
          <w:b/>
          <w:sz w:val="28"/>
          <w:szCs w:val="28"/>
        </w:rPr>
        <w:t>.</w:t>
      </w:r>
    </w:p>
    <w:p w:rsidR="00756DA3" w:rsidRDefault="008C1461" w:rsidP="008C1461">
      <w:pPr>
        <w:pStyle w:val="Nessunaspaziatura"/>
      </w:pPr>
      <w:r w:rsidRPr="008C1461">
        <w:t>Francesco Bianchini nato</w:t>
      </w:r>
      <w:r w:rsidR="00756DA3">
        <w:t xml:space="preserve"> a Lucca</w:t>
      </w:r>
      <w:r w:rsidRPr="008C1461">
        <w:t xml:space="preserve"> nel 1972, è un presbitero dell’Arcidiocesi di Lucca. Ha conseguito il dottorato in scienze bibliche nel 2006 al Pontificio Istituto Biblico. È professore stabile di Esegesi del Nuovo Testamento alla Pontificia Università </w:t>
      </w:r>
      <w:proofErr w:type="spellStart"/>
      <w:r w:rsidRPr="008C1461">
        <w:t>Urbaniana</w:t>
      </w:r>
      <w:proofErr w:type="spellEnd"/>
      <w:r w:rsidRPr="008C1461">
        <w:t xml:space="preserve"> e professore invitato di Greco del Nuovo Testamento al Pontificio Istituto Biblico. È autore delle monografie L’elogio di sé in Cristo. L’utilizzo della </w:t>
      </w:r>
      <w:proofErr w:type="spellStart"/>
      <w:r w:rsidRPr="008C1461">
        <w:t>periautologia</w:t>
      </w:r>
      <w:proofErr w:type="spellEnd"/>
      <w:r w:rsidRPr="008C1461">
        <w:t xml:space="preserve"> nel contesto di Filippesi 3,1 – 4,1 (Pontificio Istituto Biblico 2006) e L’analisi retorica delle lettere paoline. Un’introduzione (San Paolo 2011), dei commentari Lettera ai Galati (Città Nuova 2009) e Lettera ai Filippesi (San Paolo 2010); scrive articoli e recensioni di argomento biblico, con particolare attenzione agli scritti paolini.</w:t>
      </w:r>
      <w:r w:rsidR="00756DA3">
        <w:t xml:space="preserve"> Vive a Roma nella chiesa di San Luigi dei Francesi, della comunità Francese. </w:t>
      </w:r>
    </w:p>
    <w:p w:rsidR="008C1461" w:rsidRDefault="00756DA3" w:rsidP="008C1461">
      <w:pPr>
        <w:pStyle w:val="Nessunaspaziatura"/>
      </w:pPr>
      <w:r>
        <w:t>Consigliere spirituale dal 2011 dell’</w:t>
      </w:r>
      <w:proofErr w:type="spellStart"/>
      <w:r>
        <w:t>Equipes</w:t>
      </w:r>
      <w:proofErr w:type="spellEnd"/>
      <w:r>
        <w:t xml:space="preserve"> Lucca 5 Settore Tirreno.</w:t>
      </w:r>
    </w:p>
    <w:p w:rsidR="004A16C7" w:rsidRPr="008C1461" w:rsidRDefault="004A16C7" w:rsidP="008C1461">
      <w:pPr>
        <w:pStyle w:val="Nessunaspaziatura"/>
      </w:pPr>
    </w:p>
    <w:p w:rsidR="008C1461" w:rsidRPr="008C1461" w:rsidRDefault="008C1461" w:rsidP="008C1461">
      <w:pPr>
        <w:spacing w:line="240" w:lineRule="auto"/>
      </w:pPr>
    </w:p>
    <w:p w:rsidR="00B146F3" w:rsidRDefault="00756DA3" w:rsidP="00756DA3">
      <w:pPr>
        <w:jc w:val="center"/>
      </w:pPr>
      <w:r>
        <w:t>Traccia della relazione svolta di cui si allega registrazione:</w:t>
      </w:r>
    </w:p>
    <w:p w:rsidR="004A16C7" w:rsidRDefault="004A16C7" w:rsidP="00756DA3">
      <w:pPr>
        <w:jc w:val="center"/>
      </w:pPr>
    </w:p>
    <w:p w:rsidR="004A16C7" w:rsidRDefault="004A16C7" w:rsidP="00756DA3">
      <w:pPr>
        <w:jc w:val="center"/>
      </w:pPr>
    </w:p>
    <w:p w:rsidR="00B146F3" w:rsidRDefault="00B146F3" w:rsidP="00B146F3">
      <w:pPr>
        <w:rPr>
          <w:u w:val="single"/>
        </w:rPr>
      </w:pPr>
      <w:r w:rsidRPr="004B5598">
        <w:rPr>
          <w:u w:val="single"/>
        </w:rPr>
        <w:t>Antico Testamento</w:t>
      </w:r>
    </w:p>
    <w:p w:rsidR="00B146F3" w:rsidRDefault="00B146F3" w:rsidP="00B146F3">
      <w:pPr>
        <w:rPr>
          <w:rFonts w:eastAsia="Times New Roman" w:cs="Times New Roman"/>
          <w:lang w:eastAsia="it-IT"/>
        </w:rPr>
      </w:pPr>
      <w:r>
        <w:t xml:space="preserve">C’è un evento fondamentale nell’AT, quello della liberazione dall’Egitto. Dio libera Israele e lo conduce sul monte Sinai, dove sancisce un patto di alleanza con lui, “io sarò il loro Dio ed essi saranno il mio popolo” (ad es. </w:t>
      </w:r>
      <w:proofErr w:type="spellStart"/>
      <w:r>
        <w:t>Ez</w:t>
      </w:r>
      <w:proofErr w:type="spellEnd"/>
      <w:r>
        <w:t xml:space="preserve"> 37,27). Ciò che regola questa alleanza è la Legge che il Signore dà ad Israele per le mani di Mosè. </w:t>
      </w:r>
      <w:r w:rsidRPr="00507111">
        <w:rPr>
          <w:rFonts w:eastAsia="Times New Roman" w:cs="Times New Roman"/>
          <w:lang w:eastAsia="it-IT"/>
        </w:rPr>
        <w:t>La Legge riguarda sia il rapporto del popolo e di ciascuno dei suoi membri con Dio, sia i rapporti reciproci tra i membri della comunità israelitica (si veda a questo proposito la struttura bipartita del Decalogo, ad es. Es 20,1-17). La fede del credente va a riassumersi nella pratica della Legge e la vita si risolve nella scelta tra due opposte vie: l’osservanza della Legge o la sua tra</w:t>
      </w:r>
      <w:bookmarkStart w:id="0" w:name="_GoBack"/>
      <w:bookmarkEnd w:id="0"/>
      <w:r w:rsidRPr="00507111">
        <w:rPr>
          <w:rFonts w:eastAsia="Times New Roman" w:cs="Times New Roman"/>
          <w:lang w:eastAsia="it-IT"/>
        </w:rPr>
        <w:t>sgressione</w:t>
      </w:r>
      <w:r>
        <w:rPr>
          <w:rFonts w:eastAsia="Times New Roman" w:cs="Times New Roman"/>
          <w:lang w:eastAsia="it-IT"/>
        </w:rPr>
        <w:t>:</w:t>
      </w:r>
    </w:p>
    <w:p w:rsidR="004A16C7" w:rsidRDefault="004A16C7" w:rsidP="00B146F3">
      <w:pPr>
        <w:rPr>
          <w:rFonts w:eastAsia="Times New Roman" w:cs="Times New Roman"/>
          <w:lang w:eastAsia="it-IT"/>
        </w:rPr>
      </w:pPr>
    </w:p>
    <w:p w:rsidR="00B146F3" w:rsidRDefault="00B146F3" w:rsidP="00B146F3">
      <w:pPr>
        <w:spacing w:line="240" w:lineRule="auto"/>
        <w:ind w:left="708"/>
        <w:rPr>
          <w:rFonts w:eastAsia="Times New Roman" w:cs="Times New Roman"/>
          <w:sz w:val="22"/>
          <w:szCs w:val="22"/>
          <w:lang w:eastAsia="it-IT"/>
        </w:rPr>
      </w:pPr>
      <w:r w:rsidRPr="00507111">
        <w:rPr>
          <w:rFonts w:eastAsia="Times New Roman" w:cs="Times New Roman"/>
          <w:sz w:val="22"/>
          <w:szCs w:val="22"/>
          <w:lang w:eastAsia="it-IT"/>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w:t>
      </w:r>
      <w:r>
        <w:rPr>
          <w:rFonts w:eastAsia="Times New Roman" w:cs="Times New Roman"/>
          <w:sz w:val="22"/>
          <w:szCs w:val="22"/>
          <w:lang w:eastAsia="it-IT"/>
        </w:rPr>
        <w:t xml:space="preserve"> </w:t>
      </w:r>
      <w:r w:rsidRPr="00507111">
        <w:rPr>
          <w:rFonts w:eastAsia="Times New Roman" w:cs="Times New Roman"/>
          <w:sz w:val="22"/>
          <w:szCs w:val="22"/>
          <w:lang w:eastAsia="it-IT"/>
        </w:rPr>
        <w:t>amando il Signore, tuo Dio, obbedendo alla sua voce e tenendoti unito a lui, poiché è lui la tua vita e la tua longevità, per poter così abitare nel paese che il Signore ha giurato di dare ai tuoi padri, Abramo, Isacco e Giacobbe (</w:t>
      </w:r>
      <w:proofErr w:type="spellStart"/>
      <w:r w:rsidRPr="00507111">
        <w:rPr>
          <w:rFonts w:eastAsia="Times New Roman" w:cs="Times New Roman"/>
          <w:sz w:val="22"/>
          <w:szCs w:val="22"/>
          <w:lang w:eastAsia="it-IT"/>
        </w:rPr>
        <w:t>Dt</w:t>
      </w:r>
      <w:proofErr w:type="spellEnd"/>
      <w:r w:rsidRPr="00507111">
        <w:rPr>
          <w:rFonts w:eastAsia="Times New Roman" w:cs="Times New Roman"/>
          <w:sz w:val="22"/>
          <w:szCs w:val="22"/>
          <w:lang w:eastAsia="it-IT"/>
        </w:rPr>
        <w:t xml:space="preserve"> 30,15-20)</w:t>
      </w:r>
      <w:r>
        <w:rPr>
          <w:rFonts w:eastAsia="Times New Roman" w:cs="Times New Roman"/>
          <w:sz w:val="22"/>
          <w:szCs w:val="22"/>
          <w:lang w:eastAsia="it-IT"/>
        </w:rPr>
        <w:t>.</w:t>
      </w:r>
    </w:p>
    <w:p w:rsidR="00B146F3" w:rsidRDefault="00B146F3" w:rsidP="00B146F3"/>
    <w:p w:rsidR="00B146F3" w:rsidRPr="00111A9D" w:rsidRDefault="00B146F3" w:rsidP="00B146F3">
      <w:pPr>
        <w:rPr>
          <w:rFonts w:eastAsia="Times New Roman" w:cs="Times New Roman"/>
          <w:u w:val="single"/>
          <w:lang w:eastAsia="it-IT"/>
        </w:rPr>
      </w:pPr>
      <w:r w:rsidRPr="00111A9D">
        <w:rPr>
          <w:rFonts w:eastAsia="Times New Roman" w:cs="Times New Roman"/>
          <w:u w:val="single"/>
          <w:lang w:eastAsia="it-IT"/>
        </w:rPr>
        <w:t>Nuovo Testamento</w:t>
      </w:r>
    </w:p>
    <w:p w:rsidR="00B146F3" w:rsidRDefault="00B146F3" w:rsidP="00B146F3">
      <w:pPr>
        <w:rPr>
          <w:rFonts w:eastAsia="Times New Roman" w:cs="Times New Roman"/>
          <w:lang w:eastAsia="it-IT"/>
        </w:rPr>
      </w:pPr>
      <w:r>
        <w:rPr>
          <w:rFonts w:eastAsia="Times New Roman" w:cs="Times New Roman"/>
          <w:lang w:eastAsia="it-IT"/>
        </w:rPr>
        <w:t>Nel Nuovo Testamento assistiamo a un forte cambiamento di prospettiva perché la Legge non può più essere il punto di riferimento della vita del credente perché è Cristo e il rapporto, la relazione con lui. La Legge sussiste soltanto in quanto in essa c’è la rivelazione della volontà di Dio ed è una parte della stessa Scrittura.</w:t>
      </w:r>
    </w:p>
    <w:p w:rsidR="00B146F3" w:rsidRDefault="00B146F3" w:rsidP="00B146F3">
      <w:pPr>
        <w:rPr>
          <w:rFonts w:eastAsia="Times New Roman" w:cs="Times New Roman"/>
          <w:lang w:eastAsia="it-IT"/>
        </w:rPr>
      </w:pPr>
      <w:r>
        <w:rPr>
          <w:rFonts w:eastAsia="Times New Roman" w:cs="Times New Roman"/>
          <w:lang w:eastAsia="it-IT"/>
        </w:rPr>
        <w:t>Se Matteo vuol mostrare che la rivelazione dell’Antico Testamento si compie in Gesù quindi cerca di costruire un legame tra la Legge e il Vangelo, Paolo si trova in una situazione completamente diversa. Di fronte al problema dell’ammissione dei Pagani nella Chiesa, egli pensa che se essi dovessero prima accettare la Legge per poi venire alla fede, significherebbe che credere in Cristo non è sufficiente alla salvezza e allora egli sarebbe morto invano sulla croce per noi (</w:t>
      </w:r>
      <w:proofErr w:type="spellStart"/>
      <w:r>
        <w:rPr>
          <w:rFonts w:eastAsia="Times New Roman" w:cs="Times New Roman"/>
          <w:lang w:eastAsia="it-IT"/>
        </w:rPr>
        <w:t>cf</w:t>
      </w:r>
      <w:proofErr w:type="spellEnd"/>
      <w:r>
        <w:rPr>
          <w:rFonts w:eastAsia="Times New Roman" w:cs="Times New Roman"/>
          <w:lang w:eastAsia="it-IT"/>
        </w:rPr>
        <w:t>. Gal 2,15-21). Invece per Paolo la fede in Cristo è condizione necessaria e sufficiente per essere salvati: di fronte a Dio ciò che rende giusti non è l’osservanza della Legge (come sosteneva buona parte dell’Antico Testamento), ma unicamente la fede in Cristo per la quale il peccatore è gratuitamente perdonato senza alcun merito. In fondo la sua posizione è maturata a partire dall’esperienza personale di conversione, nella quale egli è passato dal fondare la vita sull’osservanza della Legge a basarla sulla fede in Cristo:</w:t>
      </w:r>
    </w:p>
    <w:p w:rsidR="00B146F3" w:rsidRPr="00F42878" w:rsidRDefault="00B146F3" w:rsidP="00B146F3">
      <w:pPr>
        <w:autoSpaceDE w:val="0"/>
        <w:autoSpaceDN w:val="0"/>
        <w:adjustRightInd w:val="0"/>
        <w:spacing w:line="240" w:lineRule="auto"/>
        <w:ind w:left="426"/>
        <w:rPr>
          <w:sz w:val="22"/>
          <w:szCs w:val="22"/>
          <w:lang w:bidi="he-IL"/>
        </w:rPr>
      </w:pPr>
      <w:r w:rsidRPr="00F42878">
        <w:rPr>
          <w:rFonts w:cs="Book Antiqua"/>
          <w:sz w:val="22"/>
          <w:szCs w:val="22"/>
          <w:lang w:bidi="he-IL"/>
        </w:rPr>
        <w:t>Se qualcuno ritiene di poter avere fiducia nella carne, io più di lui:</w:t>
      </w:r>
      <w:r w:rsidRPr="00F42878">
        <w:rPr>
          <w:sz w:val="22"/>
          <w:szCs w:val="22"/>
          <w:lang w:bidi="he-IL"/>
        </w:rPr>
        <w:t xml:space="preserve"> </w:t>
      </w:r>
      <w:r w:rsidRPr="00F42878">
        <w:rPr>
          <w:rFonts w:cs="Book Antiqua"/>
          <w:sz w:val="22"/>
          <w:szCs w:val="22"/>
          <w:lang w:bidi="he-IL"/>
        </w:rPr>
        <w:t>circonciso all'età di otto giorni, della stirpe d'Israele, della tribù di Beniamino, Ebreo figlio di Ebrei; quanto alla Legge, fariseo;</w:t>
      </w:r>
      <w:r w:rsidRPr="00F42878">
        <w:rPr>
          <w:sz w:val="22"/>
          <w:szCs w:val="22"/>
          <w:lang w:bidi="he-IL"/>
        </w:rPr>
        <w:t xml:space="preserve"> </w:t>
      </w:r>
      <w:r w:rsidRPr="00F42878">
        <w:rPr>
          <w:rFonts w:cs="Book Antiqua"/>
          <w:sz w:val="22"/>
          <w:szCs w:val="22"/>
          <w:lang w:bidi="he-IL"/>
        </w:rPr>
        <w:t>quanto allo zelo, persecutore della Chiesa; quanto alla giustizia che deriva dall'osservanza della Legge, irreprensibile.</w:t>
      </w:r>
    </w:p>
    <w:p w:rsidR="004A16C7" w:rsidRDefault="00B146F3" w:rsidP="00B146F3">
      <w:pPr>
        <w:autoSpaceDE w:val="0"/>
        <w:autoSpaceDN w:val="0"/>
        <w:adjustRightInd w:val="0"/>
        <w:spacing w:line="240" w:lineRule="auto"/>
        <w:ind w:left="426"/>
        <w:rPr>
          <w:rFonts w:cs="Book Antiqua"/>
          <w:sz w:val="22"/>
          <w:szCs w:val="22"/>
          <w:lang w:bidi="he-IL"/>
        </w:rPr>
      </w:pPr>
      <w:r w:rsidRPr="00F42878">
        <w:rPr>
          <w:rFonts w:cs="Book Antiqua"/>
          <w:sz w:val="22"/>
          <w:szCs w:val="22"/>
          <w:lang w:bidi="he-IL"/>
        </w:rPr>
        <w:t>Ma queste cose, che per me erano guadagni, io le ho considerate una perdita a motivo di Cristo.</w:t>
      </w:r>
      <w:r w:rsidRPr="00F42878">
        <w:rPr>
          <w:sz w:val="22"/>
          <w:szCs w:val="22"/>
          <w:lang w:bidi="he-IL"/>
        </w:rPr>
        <w:t xml:space="preserve"> </w:t>
      </w:r>
      <w:r w:rsidRPr="00F42878">
        <w:rPr>
          <w:rFonts w:cs="Book Antiqua"/>
          <w:sz w:val="22"/>
          <w:szCs w:val="22"/>
          <w:lang w:bidi="he-IL"/>
        </w:rPr>
        <w:t>Anzi, ritengo che tutto sia una perdita a motivo della sublimità della conoscenza di Cristo Gesù, mio Signore. Per lui ho lasciato perdere tutte queste cose e le considero spazzatura, per guadagnare Cristo</w:t>
      </w:r>
      <w:r w:rsidRPr="00F42878">
        <w:rPr>
          <w:sz w:val="22"/>
          <w:szCs w:val="22"/>
          <w:lang w:bidi="he-IL"/>
        </w:rPr>
        <w:t xml:space="preserve"> </w:t>
      </w:r>
      <w:r w:rsidRPr="00F42878">
        <w:rPr>
          <w:rFonts w:cs="Book Antiqua"/>
          <w:sz w:val="22"/>
          <w:szCs w:val="22"/>
          <w:lang w:bidi="he-IL"/>
        </w:rPr>
        <w:t xml:space="preserve">ed essere trovato in lui, avendo come mia giustizia non quella derivante dalla </w:t>
      </w:r>
    </w:p>
    <w:p w:rsidR="004A16C7" w:rsidRDefault="004A16C7" w:rsidP="00B146F3">
      <w:pPr>
        <w:autoSpaceDE w:val="0"/>
        <w:autoSpaceDN w:val="0"/>
        <w:adjustRightInd w:val="0"/>
        <w:spacing w:line="240" w:lineRule="auto"/>
        <w:ind w:left="426"/>
        <w:rPr>
          <w:rFonts w:cs="Book Antiqua"/>
          <w:sz w:val="22"/>
          <w:szCs w:val="22"/>
          <w:lang w:bidi="he-IL"/>
        </w:rPr>
      </w:pPr>
    </w:p>
    <w:p w:rsidR="00B146F3" w:rsidRDefault="00B146F3" w:rsidP="00B146F3">
      <w:pPr>
        <w:autoSpaceDE w:val="0"/>
        <w:autoSpaceDN w:val="0"/>
        <w:adjustRightInd w:val="0"/>
        <w:spacing w:line="240" w:lineRule="auto"/>
        <w:ind w:left="426"/>
        <w:rPr>
          <w:rFonts w:cs="Book Antiqua"/>
          <w:sz w:val="22"/>
          <w:szCs w:val="22"/>
          <w:lang w:bidi="he-IL"/>
        </w:rPr>
      </w:pPr>
      <w:r w:rsidRPr="00F42878">
        <w:rPr>
          <w:rFonts w:cs="Book Antiqua"/>
          <w:sz w:val="22"/>
          <w:szCs w:val="22"/>
          <w:lang w:bidi="he-IL"/>
        </w:rPr>
        <w:t>Legge, ma quella che viene dalla fede in Cristo, la giustizia che viene da Dio, basata sulla fede:</w:t>
      </w:r>
      <w:r w:rsidRPr="00F42878">
        <w:rPr>
          <w:sz w:val="22"/>
          <w:szCs w:val="22"/>
          <w:lang w:bidi="he-IL"/>
        </w:rPr>
        <w:t xml:space="preserve"> </w:t>
      </w:r>
      <w:r w:rsidRPr="00F42878">
        <w:rPr>
          <w:rFonts w:cs="Book Antiqua"/>
          <w:sz w:val="22"/>
          <w:szCs w:val="22"/>
          <w:lang w:bidi="he-IL"/>
        </w:rPr>
        <w:t>perché io possa conoscere lui, la potenza della sua risurrezione, la comunione alle sue sofferenze, facendomi conforme alla sua morte,</w:t>
      </w:r>
      <w:r w:rsidRPr="00F42878">
        <w:rPr>
          <w:sz w:val="22"/>
          <w:szCs w:val="22"/>
          <w:lang w:bidi="he-IL"/>
        </w:rPr>
        <w:t xml:space="preserve"> </w:t>
      </w:r>
      <w:r w:rsidRPr="00F42878">
        <w:rPr>
          <w:rFonts w:cs="Book Antiqua"/>
          <w:sz w:val="22"/>
          <w:szCs w:val="22"/>
          <w:lang w:bidi="he-IL"/>
        </w:rPr>
        <w:t>nella speranza di giungere alla risurrezione dai morti.</w:t>
      </w:r>
      <w:r w:rsidRPr="00F42878">
        <w:rPr>
          <w:sz w:val="22"/>
          <w:szCs w:val="22"/>
          <w:lang w:bidi="he-IL"/>
        </w:rPr>
        <w:t xml:space="preserve"> </w:t>
      </w:r>
      <w:r w:rsidRPr="00F42878">
        <w:rPr>
          <w:rFonts w:cs="Book Antiqua"/>
          <w:sz w:val="22"/>
          <w:szCs w:val="22"/>
          <w:lang w:bidi="he-IL"/>
        </w:rPr>
        <w:t>(Fil 3,4b-11)</w:t>
      </w:r>
      <w:r>
        <w:rPr>
          <w:rFonts w:cs="Book Antiqua"/>
          <w:sz w:val="22"/>
          <w:szCs w:val="22"/>
          <w:lang w:bidi="he-IL"/>
        </w:rPr>
        <w:t>.</w:t>
      </w:r>
    </w:p>
    <w:p w:rsidR="00DC373A" w:rsidRPr="00F42878" w:rsidRDefault="00DC373A" w:rsidP="00B146F3">
      <w:pPr>
        <w:autoSpaceDE w:val="0"/>
        <w:autoSpaceDN w:val="0"/>
        <w:adjustRightInd w:val="0"/>
        <w:spacing w:line="240" w:lineRule="auto"/>
        <w:ind w:left="426"/>
        <w:rPr>
          <w:sz w:val="22"/>
          <w:szCs w:val="22"/>
          <w:lang w:bidi="he-IL"/>
        </w:rPr>
      </w:pPr>
    </w:p>
    <w:p w:rsidR="00B146F3" w:rsidRPr="00111A9D" w:rsidRDefault="00B146F3" w:rsidP="00B146F3">
      <w:pPr>
        <w:rPr>
          <w:rFonts w:eastAsia="Times New Roman" w:cs="Times New Roman"/>
          <w:lang w:eastAsia="it-IT"/>
        </w:rPr>
      </w:pPr>
      <w:r>
        <w:rPr>
          <w:rFonts w:eastAsia="Times New Roman" w:cs="Times New Roman"/>
          <w:lang w:eastAsia="it-IT"/>
        </w:rPr>
        <w:t>Ma se la Legge non è più principio fondante per la vita del credente, significa che nella comunità cristiana si po’ vivere ormai senza regole? Niente affatto. Anzitutto nella comunità si è chiamati ad amare l’altro, mettendosi al suo servizio (Gal 5,13-14). Tuttavia Paolo non fornisce norme vere e proprie, ma principi utili per il discernimento comunitario.</w:t>
      </w:r>
      <w:r w:rsidRPr="00B146F3">
        <w:t xml:space="preserve"> </w:t>
      </w:r>
      <w:r>
        <w:t>In particolare, di fronte ai vari problemi posti dalle sue comunità, non fornisce una risposta diretta, ma le invita a prendere distanza dalle suddette questioni per vedervi la posta in gioco soggiacente alla luce del vangelo e soltanto alla fine trovare delle soluzioni concrete (</w:t>
      </w:r>
      <w:proofErr w:type="spellStart"/>
      <w:r>
        <w:t>cf</w:t>
      </w:r>
      <w:proofErr w:type="spellEnd"/>
      <w:r>
        <w:t>. 1 Corinzi).</w:t>
      </w:r>
    </w:p>
    <w:p w:rsidR="00B146F3" w:rsidRDefault="00B146F3" w:rsidP="00B146F3"/>
    <w:p w:rsidR="00B146F3" w:rsidRDefault="00B146F3" w:rsidP="00B146F3">
      <w:r>
        <w:t>Domande</w:t>
      </w:r>
      <w:r w:rsidR="004A16C7">
        <w:t xml:space="preserve"> per riflessione all’interno delle varie </w:t>
      </w:r>
      <w:proofErr w:type="spellStart"/>
      <w:r w:rsidR="004A16C7">
        <w:t>Equipes</w:t>
      </w:r>
      <w:proofErr w:type="spellEnd"/>
      <w:r w:rsidR="004A16C7">
        <w:t xml:space="preserve"> di formazione:</w:t>
      </w:r>
    </w:p>
    <w:p w:rsidR="004A16C7" w:rsidRDefault="004A16C7" w:rsidP="00B146F3"/>
    <w:p w:rsidR="00B146F3" w:rsidRDefault="004C067B" w:rsidP="00B146F3">
      <w:r>
        <w:t>1. Leggiamo</w:t>
      </w:r>
      <w:r w:rsidR="00B146F3">
        <w:t xml:space="preserve"> </w:t>
      </w:r>
      <w:proofErr w:type="spellStart"/>
      <w:r w:rsidR="00B146F3">
        <w:t>Dt</w:t>
      </w:r>
      <w:proofErr w:type="spellEnd"/>
      <w:r w:rsidR="00B146F3">
        <w:t xml:space="preserve"> 30,15</w:t>
      </w:r>
      <w:r>
        <w:t>-20 e Fil 3,4b-11. Cosa troviamo in questi testi per la vita personale e per l’</w:t>
      </w:r>
      <w:r w:rsidR="00B146F3">
        <w:t>esperienza comunitaria cristiana, all’interno dell’END e non solo?</w:t>
      </w:r>
    </w:p>
    <w:p w:rsidR="00B146F3" w:rsidRDefault="004C067B" w:rsidP="00B146F3">
      <w:r>
        <w:t>2. In ragione del percorso biblico che è stato presentato, cosa penso sul tema delle regole all’interno dell’END?</w:t>
      </w:r>
    </w:p>
    <w:sectPr w:rsidR="00B146F3" w:rsidSect="00D13B01">
      <w:headerReference w:type="default" r:id="rId6"/>
      <w:footerReference w:type="default" r:id="rId7"/>
      <w:pgSz w:w="11906" w:h="16838"/>
      <w:pgMar w:top="1417" w:right="1134" w:bottom="1134" w:left="1134"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461" w:rsidRDefault="008C1461" w:rsidP="008C1461">
      <w:pPr>
        <w:spacing w:line="240" w:lineRule="auto"/>
      </w:pPr>
      <w:r>
        <w:separator/>
      </w:r>
    </w:p>
  </w:endnote>
  <w:endnote w:type="continuationSeparator" w:id="0">
    <w:p w:rsidR="008C1461" w:rsidRDefault="008C1461" w:rsidP="008C1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B01" w:rsidRDefault="00D13B01">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E05A9">
      <w:rPr>
        <w:caps/>
        <w:noProof/>
        <w:color w:val="4F81BD" w:themeColor="accent1"/>
      </w:rPr>
      <w:t>1</w:t>
    </w:r>
    <w:r>
      <w:rPr>
        <w:caps/>
        <w:color w:val="4F81BD" w:themeColor="accent1"/>
      </w:rPr>
      <w:fldChar w:fldCharType="end"/>
    </w:r>
  </w:p>
  <w:p w:rsidR="00D13B01" w:rsidRDefault="00D13B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461" w:rsidRDefault="008C1461" w:rsidP="008C1461">
      <w:pPr>
        <w:spacing w:line="240" w:lineRule="auto"/>
      </w:pPr>
      <w:r>
        <w:separator/>
      </w:r>
    </w:p>
  </w:footnote>
  <w:footnote w:type="continuationSeparator" w:id="0">
    <w:p w:rsidR="008C1461" w:rsidRDefault="008C1461" w:rsidP="008C14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461" w:rsidRDefault="008C1461">
    <w:pPr>
      <w:pStyle w:val="Intestazione"/>
    </w:pPr>
    <w:r>
      <w:rPr>
        <w:noProof/>
      </w:rPr>
      <w:drawing>
        <wp:inline distT="0" distB="0" distL="0" distR="0">
          <wp:extent cx="1219200" cy="723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23900"/>
                  </a:xfrm>
                  <a:prstGeom prst="rect">
                    <a:avLst/>
                  </a:prstGeom>
                  <a:solidFill>
                    <a:srgbClr val="FFFFFF"/>
                  </a:solidFill>
                  <a:ln>
                    <a:noFill/>
                  </a:ln>
                </pic:spPr>
              </pic:pic>
            </a:graphicData>
          </a:graphic>
        </wp:inline>
      </w:drawing>
    </w:r>
  </w:p>
  <w:p w:rsidR="008C1461" w:rsidRDefault="008C1461">
    <w:pPr>
      <w:pStyle w:val="Intestazione"/>
    </w:pPr>
    <w:r>
      <w:rPr>
        <w:rFonts w:ascii="Calibri" w:hAnsi="Calibri" w:cs="Calibri"/>
        <w:b/>
        <w:sz w:val="22"/>
        <w:szCs w:val="22"/>
      </w:rPr>
      <w:t>SETTORE TIRRENO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F3"/>
    <w:rsid w:val="003A0058"/>
    <w:rsid w:val="004A16C7"/>
    <w:rsid w:val="004C067B"/>
    <w:rsid w:val="004E05A9"/>
    <w:rsid w:val="005745AE"/>
    <w:rsid w:val="00756DA3"/>
    <w:rsid w:val="008C1461"/>
    <w:rsid w:val="00B146F3"/>
    <w:rsid w:val="00BB2D82"/>
    <w:rsid w:val="00BC17F8"/>
    <w:rsid w:val="00C13B6E"/>
    <w:rsid w:val="00D0472E"/>
    <w:rsid w:val="00D13B01"/>
    <w:rsid w:val="00DC373A"/>
    <w:rsid w:val="00F66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E4707"/>
  <w15:docId w15:val="{1C47B864-A151-487D-8A65-717AA500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4"/>
        <w:lang w:val="it-IT"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146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8C1461"/>
    <w:pPr>
      <w:spacing w:line="240" w:lineRule="auto"/>
    </w:pPr>
  </w:style>
  <w:style w:type="paragraph" w:styleId="Intestazione">
    <w:name w:val="header"/>
    <w:basedOn w:val="Normale"/>
    <w:link w:val="IntestazioneCarattere"/>
    <w:uiPriority w:val="99"/>
    <w:unhideWhenUsed/>
    <w:rsid w:val="008C146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C1461"/>
  </w:style>
  <w:style w:type="paragraph" w:styleId="Pidipagina">
    <w:name w:val="footer"/>
    <w:basedOn w:val="Normale"/>
    <w:link w:val="PidipaginaCarattere"/>
    <w:uiPriority w:val="99"/>
    <w:unhideWhenUsed/>
    <w:rsid w:val="008C146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C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949</Words>
  <Characters>5414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michele castrucci</cp:lastModifiedBy>
  <cp:revision>8</cp:revision>
  <dcterms:created xsi:type="dcterms:W3CDTF">2018-01-15T21:15:00Z</dcterms:created>
  <dcterms:modified xsi:type="dcterms:W3CDTF">2018-01-28T18:11:00Z</dcterms:modified>
</cp:coreProperties>
</file>